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FA" w:rsidRPr="006823AA" w:rsidRDefault="001110FA" w:rsidP="001110F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4D6A47">
        <w:rPr>
          <w:rFonts w:ascii="Times New Roman" w:eastAsia="SimSun" w:hAnsi="Times New Roman" w:cs="Times New Roman"/>
          <w:b/>
          <w:noProof/>
          <w:kern w:val="1"/>
          <w:sz w:val="28"/>
          <w:szCs w:val="28"/>
        </w:rPr>
        <w:drawing>
          <wp:inline distT="0" distB="0" distL="0" distR="0">
            <wp:extent cx="647700" cy="704850"/>
            <wp:effectExtent l="19050" t="0" r="0" b="0"/>
            <wp:docPr id="4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0FA" w:rsidRPr="00FB48CE" w:rsidRDefault="001110FA" w:rsidP="001110F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zh-CN" w:bidi="hi-IN"/>
        </w:rPr>
      </w:pPr>
      <w:r w:rsidRPr="00FB48CE">
        <w:rPr>
          <w:rFonts w:ascii="Times New Roman" w:eastAsia="SimSun" w:hAnsi="Times New Roman" w:cs="Times New Roman"/>
          <w:b/>
          <w:kern w:val="1"/>
          <w:sz w:val="28"/>
          <w:lang w:eastAsia="zh-CN" w:bidi="hi-IN"/>
        </w:rPr>
        <w:t>АДМИНИСТРАЦИЯ МУНИЦИПАЛЬНОГО ОБРАЗОВАНИЯ НОВОЮЛАСЕНСКИЙ СЕЛЬСОВЕТ</w:t>
      </w:r>
    </w:p>
    <w:p w:rsidR="001110FA" w:rsidRPr="00FB48CE" w:rsidRDefault="001110FA" w:rsidP="001110FA">
      <w:pPr>
        <w:tabs>
          <w:tab w:val="right" w:pos="90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zh-CN" w:bidi="hi-IN"/>
        </w:rPr>
      </w:pPr>
      <w:r w:rsidRPr="00FB48CE">
        <w:rPr>
          <w:rFonts w:ascii="Times New Roman" w:eastAsia="SimSun" w:hAnsi="Times New Roman" w:cs="Times New Roman"/>
          <w:b/>
          <w:caps/>
          <w:kern w:val="1"/>
          <w:sz w:val="28"/>
          <w:lang w:eastAsia="zh-CN" w:bidi="hi-IN"/>
        </w:rPr>
        <w:t>КрасногвардейскОГО районА оренбургской</w:t>
      </w:r>
      <w:r w:rsidRPr="00FB48CE">
        <w:rPr>
          <w:rFonts w:ascii="Times New Roman" w:eastAsia="SimSun" w:hAnsi="Times New Roman" w:cs="Times New Roman"/>
          <w:b/>
          <w:kern w:val="1"/>
          <w:sz w:val="28"/>
          <w:lang w:eastAsia="zh-CN" w:bidi="hi-IN"/>
        </w:rPr>
        <w:t xml:space="preserve"> ОБЛАСТИ</w:t>
      </w:r>
    </w:p>
    <w:p w:rsidR="001110FA" w:rsidRPr="00F0116F" w:rsidRDefault="001110FA" w:rsidP="001110FA">
      <w:pPr>
        <w:keepNext/>
        <w:numPr>
          <w:ilvl w:val="0"/>
          <w:numId w:val="1"/>
        </w:numPr>
        <w:tabs>
          <w:tab w:val="right" w:pos="0"/>
        </w:tabs>
        <w:suppressAutoHyphens/>
        <w:spacing w:before="240" w:after="0" w:line="240" w:lineRule="auto"/>
        <w:jc w:val="center"/>
        <w:outlineLvl w:val="0"/>
        <w:rPr>
          <w:rFonts w:ascii="Times New Roman" w:eastAsia="Microsoft YaHei" w:hAnsi="Times New Roman" w:cs="Times New Roman"/>
          <w:kern w:val="1"/>
          <w:sz w:val="28"/>
          <w:szCs w:val="28"/>
          <w:lang w:eastAsia="zh-CN" w:bidi="hi-IN"/>
        </w:rPr>
      </w:pPr>
    </w:p>
    <w:p w:rsidR="001110FA" w:rsidRPr="00FB48CE" w:rsidRDefault="001110FA" w:rsidP="001110FA">
      <w:pPr>
        <w:keepNext/>
        <w:numPr>
          <w:ilvl w:val="0"/>
          <w:numId w:val="1"/>
        </w:numPr>
        <w:tabs>
          <w:tab w:val="right" w:pos="0"/>
        </w:tabs>
        <w:suppressAutoHyphens/>
        <w:spacing w:before="240" w:after="0" w:line="240" w:lineRule="auto"/>
        <w:jc w:val="center"/>
        <w:outlineLvl w:val="0"/>
        <w:rPr>
          <w:rFonts w:ascii="Times New Roman" w:eastAsia="Microsoft YaHei" w:hAnsi="Times New Roman" w:cs="Times New Roman"/>
          <w:kern w:val="1"/>
          <w:sz w:val="28"/>
          <w:szCs w:val="28"/>
          <w:lang w:eastAsia="zh-CN" w:bidi="hi-IN"/>
        </w:rPr>
      </w:pPr>
      <w:r w:rsidRPr="00FB48CE">
        <w:rPr>
          <w:rFonts w:ascii="Times New Roman" w:eastAsia="Microsoft YaHei" w:hAnsi="Times New Roman" w:cs="Times New Roman"/>
          <w:b/>
          <w:kern w:val="1"/>
          <w:sz w:val="28"/>
          <w:szCs w:val="28"/>
          <w:lang w:eastAsia="zh-CN" w:bidi="hi-IN"/>
        </w:rPr>
        <w:t>П О С Т А Н О В Л Е Н И Е</w:t>
      </w:r>
    </w:p>
    <w:p w:rsidR="001110FA" w:rsidRPr="00FB48CE" w:rsidRDefault="001110FA" w:rsidP="001110FA">
      <w:pPr>
        <w:tabs>
          <w:tab w:val="right" w:pos="90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:rsidR="001110FA" w:rsidRPr="00FB48CE" w:rsidRDefault="001110FA" w:rsidP="001110FA">
      <w:pPr>
        <w:tabs>
          <w:tab w:val="right" w:pos="900"/>
          <w:tab w:val="right" w:pos="1026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lang w:eastAsia="zh-CN" w:bidi="hi-IN"/>
        </w:rPr>
        <w:t>16</w:t>
      </w:r>
      <w:r w:rsidRPr="00FB48CE">
        <w:rPr>
          <w:rFonts w:ascii="Times New Roman" w:eastAsia="SimSun" w:hAnsi="Times New Roman" w:cs="Times New Roman"/>
          <w:kern w:val="1"/>
          <w:sz w:val="28"/>
          <w:lang w:eastAsia="zh-CN" w:bidi="hi-IN"/>
        </w:rPr>
        <w:t>.</w:t>
      </w:r>
      <w:r>
        <w:rPr>
          <w:rFonts w:ascii="Times New Roman" w:eastAsia="SimSun" w:hAnsi="Times New Roman" w:cs="Times New Roman"/>
          <w:kern w:val="1"/>
          <w:sz w:val="28"/>
          <w:lang w:eastAsia="zh-CN" w:bidi="hi-IN"/>
        </w:rPr>
        <w:t>06</w:t>
      </w:r>
      <w:r w:rsidRPr="00FB48CE">
        <w:rPr>
          <w:rFonts w:ascii="Times New Roman" w:eastAsia="SimSun" w:hAnsi="Times New Roman" w:cs="Times New Roman"/>
          <w:kern w:val="1"/>
          <w:sz w:val="28"/>
          <w:lang w:eastAsia="zh-CN" w:bidi="hi-IN"/>
        </w:rPr>
        <w:t xml:space="preserve">.2020                                                                                                       № </w:t>
      </w:r>
      <w:r>
        <w:rPr>
          <w:rFonts w:ascii="Times New Roman" w:eastAsia="SimSun" w:hAnsi="Times New Roman" w:cs="Times New Roman"/>
          <w:kern w:val="1"/>
          <w:sz w:val="28"/>
          <w:lang w:eastAsia="zh-CN" w:bidi="hi-IN"/>
        </w:rPr>
        <w:t>43</w:t>
      </w:r>
      <w:r w:rsidRPr="00FB48CE">
        <w:rPr>
          <w:rFonts w:ascii="Times New Roman" w:eastAsia="SimSun" w:hAnsi="Times New Roman" w:cs="Times New Roman"/>
          <w:kern w:val="1"/>
          <w:sz w:val="28"/>
          <w:lang w:eastAsia="zh-CN" w:bidi="hi-IN"/>
        </w:rPr>
        <w:t>-п</w:t>
      </w:r>
    </w:p>
    <w:p w:rsidR="001110FA" w:rsidRPr="00FB48CE" w:rsidRDefault="001110FA" w:rsidP="001110F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proofErr w:type="spellStart"/>
      <w:r w:rsidRPr="00FB48C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с.Новоюласка</w:t>
      </w:r>
      <w:proofErr w:type="spellEnd"/>
    </w:p>
    <w:p w:rsidR="001110FA" w:rsidRPr="00FB48CE" w:rsidRDefault="001110FA" w:rsidP="001110F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1"/>
          <w:sz w:val="20"/>
          <w:lang w:eastAsia="ar-SA" w:bidi="hi-IN"/>
        </w:rPr>
      </w:pPr>
    </w:p>
    <w:p w:rsidR="001110FA" w:rsidRDefault="001110FA" w:rsidP="001110FA">
      <w:pPr>
        <w:pStyle w:val="1"/>
      </w:pPr>
    </w:p>
    <w:p w:rsidR="001110FA" w:rsidRPr="00DE6EA7" w:rsidRDefault="001110FA" w:rsidP="001110FA">
      <w:pPr>
        <w:pStyle w:val="1"/>
        <w:jc w:val="center"/>
      </w:pPr>
      <w:r w:rsidRPr="00DE6EA7">
        <w:t xml:space="preserve">Об утверждении Порядка оценки эффективности налоговых льгот (налоговых расходов), установленных в муниципальном образовании </w:t>
      </w:r>
      <w:proofErr w:type="spellStart"/>
      <w:r>
        <w:t>Новоюласенский</w:t>
      </w:r>
      <w:proofErr w:type="spellEnd"/>
      <w:r>
        <w:t xml:space="preserve"> </w:t>
      </w:r>
      <w:r w:rsidRPr="00DE6EA7">
        <w:t xml:space="preserve">сельсовет Красногвардейского района Оренбургской области по местным налогам, и Порядка формирования и утверждения перечня налоговых льгот (налоговых расходов), установленных в муниципальном образовании </w:t>
      </w:r>
      <w:proofErr w:type="spellStart"/>
      <w:r>
        <w:t>Новоюласенский</w:t>
      </w:r>
      <w:proofErr w:type="spellEnd"/>
      <w:r>
        <w:t xml:space="preserve"> сельс</w:t>
      </w:r>
      <w:r w:rsidRPr="00DE6EA7">
        <w:t>овет Красногвардейского района Оренбургской области по местным налогам</w:t>
      </w:r>
    </w:p>
    <w:p w:rsidR="001110FA" w:rsidRDefault="001110FA" w:rsidP="001110FA">
      <w:pPr>
        <w:spacing w:after="0" w:line="240" w:lineRule="auto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rPr>
          <w:rFonts w:ascii="Times New Roman" w:hAnsi="Times New Roman" w:cs="Times New Roman"/>
        </w:rPr>
      </w:pPr>
    </w:p>
    <w:p w:rsidR="001110FA" w:rsidRPr="006823AA" w:rsidRDefault="001110FA" w:rsidP="001110FA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823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823AA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82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3A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22.06.2019 N 796 "Об общих требованиях к оценке налоговых расходов субъектов Российской Федерации и муниципальных образований",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6823AA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области:</w:t>
      </w:r>
    </w:p>
    <w:p w:rsidR="001110FA" w:rsidRPr="006823AA" w:rsidRDefault="001110FA" w:rsidP="001110FA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823AA">
        <w:rPr>
          <w:rFonts w:ascii="Times New Roman" w:hAnsi="Times New Roman" w:cs="Times New Roman"/>
          <w:sz w:val="28"/>
          <w:szCs w:val="28"/>
        </w:rPr>
        <w:t xml:space="preserve">1. Утвердить Порядок оценки эффективности налоговых льгот (налоговых расходов), установленных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6823AA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по местным налогам согласно приложению 1 к настоящему постановлению.</w:t>
      </w:r>
    </w:p>
    <w:p w:rsidR="001110FA" w:rsidRPr="006823AA" w:rsidRDefault="001110FA" w:rsidP="001110FA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823AA">
        <w:rPr>
          <w:rFonts w:ascii="Times New Roman" w:hAnsi="Times New Roman" w:cs="Times New Roman"/>
          <w:sz w:val="28"/>
          <w:szCs w:val="28"/>
        </w:rPr>
        <w:t xml:space="preserve">2. Утвердить Порядок формирования и утверждения перечня налоговых льгот (налоговых расходов), установленных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3AA">
        <w:rPr>
          <w:rFonts w:ascii="Times New Roman" w:hAnsi="Times New Roman" w:cs="Times New Roman"/>
          <w:sz w:val="28"/>
          <w:szCs w:val="28"/>
        </w:rPr>
        <w:t>сельсовет Красногвардейского района Оренбургской области по местным налогам согласно приложению 2 к настоящему постановлению.</w:t>
      </w:r>
    </w:p>
    <w:p w:rsidR="001110FA" w:rsidRDefault="001110FA" w:rsidP="001110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3AA">
        <w:rPr>
          <w:rFonts w:ascii="Times New Roman" w:hAnsi="Times New Roman" w:cs="Times New Roman"/>
          <w:sz w:val="28"/>
          <w:szCs w:val="28"/>
        </w:rPr>
        <w:t xml:space="preserve">3. Признать утратившим силу постановление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3AA">
        <w:rPr>
          <w:rFonts w:ascii="Times New Roman" w:hAnsi="Times New Roman" w:cs="Times New Roman"/>
          <w:sz w:val="28"/>
          <w:szCs w:val="28"/>
        </w:rPr>
        <w:t xml:space="preserve">сельсовет Красногвардейского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26.10.</w:t>
      </w:r>
      <w:r w:rsidRPr="006823AA">
        <w:rPr>
          <w:rFonts w:ascii="Times New Roman" w:hAnsi="Times New Roman" w:cs="Times New Roman"/>
          <w:sz w:val="28"/>
          <w:szCs w:val="28"/>
        </w:rPr>
        <w:t>2017 N 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6823AA">
        <w:rPr>
          <w:rFonts w:ascii="Times New Roman" w:hAnsi="Times New Roman" w:cs="Times New Roman"/>
          <w:sz w:val="28"/>
          <w:szCs w:val="28"/>
        </w:rPr>
        <w:t>-п «</w:t>
      </w:r>
      <w:r w:rsidRPr="00A535FD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и Методики оценки эффективности налоговых льгот и ставок по местным н</w:t>
      </w:r>
      <w:r>
        <w:rPr>
          <w:rFonts w:ascii="Times New Roman" w:hAnsi="Times New Roman"/>
          <w:bCs/>
          <w:color w:val="000000"/>
          <w:sz w:val="28"/>
          <w:szCs w:val="28"/>
        </w:rPr>
        <w:t>алогам</w:t>
      </w:r>
      <w:r w:rsidRPr="006823AA">
        <w:rPr>
          <w:rFonts w:ascii="Times New Roman" w:hAnsi="Times New Roman" w:cs="Times New Roman"/>
          <w:sz w:val="28"/>
          <w:szCs w:val="28"/>
        </w:rPr>
        <w:t>».</w:t>
      </w:r>
    </w:p>
    <w:p w:rsidR="001110FA" w:rsidRPr="00F0116F" w:rsidRDefault="001110FA" w:rsidP="001110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23AA">
        <w:rPr>
          <w:rFonts w:ascii="Times New Roman" w:hAnsi="Times New Roman" w:cs="Times New Roman"/>
          <w:sz w:val="28"/>
          <w:szCs w:val="28"/>
        </w:rPr>
        <w:t xml:space="preserve">4. Настоящее постановление вступает в силу с 1 января 2020 года и подлежит обнародованию в установленном порядке в соответствии с </w:t>
      </w:r>
      <w:r w:rsidRPr="006823AA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действующим законодательством, а также подлежит размещению </w:t>
      </w:r>
      <w:r w:rsidRPr="00F0116F">
        <w:rPr>
          <w:rFonts w:ascii="Times New Roman" w:hAnsi="Times New Roman" w:cs="Times New Roman"/>
          <w:sz w:val="28"/>
          <w:szCs w:val="28"/>
        </w:rPr>
        <w:t>на портале муниципальных образований Оренбургской области в разделе «Красногвардейский район» подразделе «Сельские поселения» на вкладке «</w:t>
      </w:r>
      <w:proofErr w:type="spellStart"/>
      <w:r w:rsidRPr="00F011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F0116F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1110FA" w:rsidRPr="006823AA" w:rsidRDefault="001110FA" w:rsidP="001110FA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823AA">
        <w:rPr>
          <w:rFonts w:ascii="Times New Roman" w:hAnsi="Times New Roman" w:cs="Times New Roman"/>
          <w:sz w:val="28"/>
          <w:szCs w:val="28"/>
        </w:rPr>
        <w:t>.</w:t>
      </w:r>
    </w:p>
    <w:p w:rsidR="001110FA" w:rsidRPr="006823AA" w:rsidRDefault="001110FA" w:rsidP="001110FA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823AA">
        <w:rPr>
          <w:rFonts w:ascii="Times New Roman" w:hAnsi="Times New Roman" w:cs="Times New Roman"/>
          <w:sz w:val="28"/>
          <w:szCs w:val="28"/>
        </w:rPr>
        <w:t xml:space="preserve">5. Контроль за </w:t>
      </w:r>
      <w:r>
        <w:rPr>
          <w:rFonts w:ascii="Times New Roman" w:hAnsi="Times New Roman" w:cs="Times New Roman"/>
          <w:sz w:val="28"/>
          <w:szCs w:val="28"/>
        </w:rPr>
        <w:t>испол</w:t>
      </w:r>
      <w:r w:rsidRPr="006823AA">
        <w:rPr>
          <w:rFonts w:ascii="Times New Roman" w:hAnsi="Times New Roman" w:cs="Times New Roman"/>
          <w:sz w:val="28"/>
          <w:szCs w:val="28"/>
        </w:rPr>
        <w:t>нением настоящего постановления оставляю за собой.</w:t>
      </w:r>
    </w:p>
    <w:p w:rsidR="001110FA" w:rsidRPr="006823AA" w:rsidRDefault="001110FA" w:rsidP="0011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0FA" w:rsidRPr="006823AA" w:rsidRDefault="001110FA" w:rsidP="0011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3A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6823AA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1110FA" w:rsidRPr="009E26A8" w:rsidRDefault="001110FA" w:rsidP="001110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26A8">
        <w:rPr>
          <w:rFonts w:ascii="Times New Roman" w:hAnsi="Times New Roman"/>
          <w:color w:val="000000"/>
          <w:sz w:val="28"/>
          <w:szCs w:val="28"/>
        </w:rPr>
        <w:t>Разослано: в дело, финансовый отдел администрации района, прокурору района.</w:t>
      </w:r>
    </w:p>
    <w:p w:rsidR="001110FA" w:rsidRPr="006823AA" w:rsidRDefault="001110FA" w:rsidP="0011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838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lastRenderedPageBreak/>
        <w:t>Приложение 1</w:t>
      </w:r>
    </w:p>
    <w:p w:rsidR="001110FA" w:rsidRPr="00DE6EA7" w:rsidRDefault="001110FA" w:rsidP="001110FA">
      <w:pPr>
        <w:spacing w:after="0" w:line="240" w:lineRule="auto"/>
        <w:ind w:firstLine="838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к постановлению администрации</w:t>
      </w:r>
    </w:p>
    <w:p w:rsidR="001110FA" w:rsidRPr="00DE6EA7" w:rsidRDefault="001110FA" w:rsidP="001110FA">
      <w:pPr>
        <w:spacing w:after="0" w:line="240" w:lineRule="auto"/>
        <w:ind w:firstLine="838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муниципального образования</w:t>
      </w:r>
    </w:p>
    <w:p w:rsidR="001110FA" w:rsidRPr="00DE6EA7" w:rsidRDefault="001110FA" w:rsidP="001110FA">
      <w:pPr>
        <w:spacing w:after="0" w:line="240" w:lineRule="auto"/>
        <w:ind w:firstLine="83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</w:t>
      </w:r>
    </w:p>
    <w:p w:rsidR="001110FA" w:rsidRPr="00DE6EA7" w:rsidRDefault="001110FA" w:rsidP="001110FA">
      <w:pPr>
        <w:spacing w:after="0" w:line="240" w:lineRule="auto"/>
        <w:ind w:firstLine="838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Красногвардейского района</w:t>
      </w:r>
    </w:p>
    <w:p w:rsidR="001110FA" w:rsidRPr="00DE6EA7" w:rsidRDefault="001110FA" w:rsidP="001110FA">
      <w:pPr>
        <w:spacing w:after="0" w:line="240" w:lineRule="auto"/>
        <w:ind w:firstLine="838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Оренбургской области</w:t>
      </w:r>
    </w:p>
    <w:p w:rsidR="001110FA" w:rsidRPr="00DE6EA7" w:rsidRDefault="001110FA" w:rsidP="001110FA">
      <w:pPr>
        <w:spacing w:after="0" w:line="240" w:lineRule="auto"/>
        <w:ind w:firstLine="8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E6EA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16.06.2020 № 43-п</w:t>
      </w:r>
    </w:p>
    <w:p w:rsidR="001110FA" w:rsidRPr="00DE6EA7" w:rsidRDefault="001110FA" w:rsidP="001110FA">
      <w:pPr>
        <w:spacing w:after="0" w:line="240" w:lineRule="auto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pStyle w:val="3"/>
        <w:spacing w:before="0" w:after="0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Порядок</w:t>
      </w:r>
    </w:p>
    <w:p w:rsidR="001110FA" w:rsidRPr="00DE6EA7" w:rsidRDefault="001110FA" w:rsidP="001110FA">
      <w:pPr>
        <w:pStyle w:val="3"/>
        <w:spacing w:before="0" w:after="0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оценки эффективности налоговых льгот (налоговых расходов), установленных в муниципальном образовании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 по местным налогам</w:t>
      </w:r>
    </w:p>
    <w:p w:rsidR="001110FA" w:rsidRPr="00DE6EA7" w:rsidRDefault="001110FA" w:rsidP="001110FA">
      <w:pPr>
        <w:spacing w:after="0" w:line="240" w:lineRule="auto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pStyle w:val="3"/>
        <w:tabs>
          <w:tab w:val="left" w:pos="709"/>
        </w:tabs>
        <w:spacing w:before="0" w:after="0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I. Общие положения</w:t>
      </w:r>
    </w:p>
    <w:p w:rsidR="001110FA" w:rsidRPr="00DE6EA7" w:rsidRDefault="001110FA" w:rsidP="001110FA">
      <w:pPr>
        <w:spacing w:after="0" w:line="240" w:lineRule="auto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1.1. Настоящий Порядок определяет правила проведения оценки эффективности налоговых льгот (налоговых расходов), установленных в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 по местным налогам (далее - оценка эффективности).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1.2. Оценка эффективности применяется в отношении налоговых льгот по следующим видам налогов: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- налог на имущество физических лиц;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- земельный налог с организаций;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- земельный налог с физических лиц.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1.3. Для целей настоящего Порядка используются следующие основные понятия: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налоговая льгота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налоговые расходы -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в муниципальном образовании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 xml:space="preserve">сельсовет Красногвардейского района Оренбургской области в качестве мер поддержки в соответствии с целями муниципальных программ администрации муниципального образования сельсовет Красногвардейского района Оренбургской области и целями социально-экономического развития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  <w:r w:rsidRPr="00DE6EA7">
        <w:rPr>
          <w:rFonts w:ascii="Times New Roman" w:hAnsi="Times New Roman" w:cs="Times New Roman"/>
        </w:rPr>
        <w:t xml:space="preserve"> Красногвардейского района Оренбургской области, не относящимися к муниципальным программам;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куратор - должностное лицо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 xml:space="preserve">сельсовет Красногвардейского района Оренбургской области, уполномоченное проводить оценку эффективности налоговых льгот (налоговых расходов) при оценке программных налоговых льгот (расходов), - ответственный исполнитель (соисполнитель) соответствующей муниципальной программы; при оценке нераспределенных и </w:t>
      </w:r>
      <w:proofErr w:type="spellStart"/>
      <w:r w:rsidRPr="00DE6EA7">
        <w:rPr>
          <w:rFonts w:ascii="Times New Roman" w:hAnsi="Times New Roman" w:cs="Times New Roman"/>
        </w:rPr>
        <w:t>непрограммных</w:t>
      </w:r>
      <w:proofErr w:type="spellEnd"/>
      <w:r w:rsidRPr="00DE6EA7">
        <w:rPr>
          <w:rFonts w:ascii="Times New Roman" w:hAnsi="Times New Roman" w:cs="Times New Roman"/>
        </w:rPr>
        <w:t xml:space="preserve"> налоговых льгот (расходов) - представительный орган муниципального образования, инициирующий введение льготы.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1.4 Оценка эффективности проводится отдельно по каждому виду (направлению) налоговых льгот (налоговых расходов).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1.5. 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программах. Распределение налоговых льгот (налоговых расходов)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Налоговые льготы (налоговые расходы), которые не соответствуют перечисленным выше критериям, относятся к </w:t>
      </w:r>
      <w:proofErr w:type="spellStart"/>
      <w:r w:rsidRPr="00DE6EA7">
        <w:rPr>
          <w:rFonts w:ascii="Times New Roman" w:hAnsi="Times New Roman" w:cs="Times New Roman"/>
        </w:rPr>
        <w:t>непрограммным</w:t>
      </w:r>
      <w:proofErr w:type="spellEnd"/>
      <w:r w:rsidRPr="00DE6EA7">
        <w:rPr>
          <w:rFonts w:ascii="Times New Roman" w:hAnsi="Times New Roman" w:cs="Times New Roman"/>
        </w:rPr>
        <w:t xml:space="preserve"> налоговым льготам (налоговым расходам).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lastRenderedPageBreak/>
        <w:t>Налоговые льготы (налоговые расходы) разделяются на 3 типа в зависимости от целевой составляющей: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1) социальная - поддержка отдельных категорий граждан;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2) техническая - устранение/уменьшение встречных финансовых потоков;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3) стимулирующая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1.6. Оценка эффективности налоговых льгот (налоговых расходов) осуществляется на основании информации Межрайонной Инспекции Федеральной налоговой службы N 4 по Оренбургской области (далее - МИФНС N 4).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1.7. 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1110FA" w:rsidRPr="00DE6EA7" w:rsidRDefault="001110FA" w:rsidP="001110FA">
      <w:pPr>
        <w:spacing w:after="0" w:line="240" w:lineRule="auto"/>
        <w:ind w:firstLine="559"/>
        <w:jc w:val="center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br/>
      </w:r>
      <w:r w:rsidRPr="00DE6EA7">
        <w:rPr>
          <w:rStyle w:val="a5"/>
          <w:rFonts w:ascii="Times New Roman" w:hAnsi="Times New Roman" w:cs="Times New Roman"/>
        </w:rPr>
        <w:t>II. Порядок проведения оценки эффективности налоговых льгот (налоговых расходов)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2.1. Оценка эффективности по налоговым льготам (налоговым расходам), предлагаемым к введению, проводится на стадии подготовки проекта нормативно-правового акта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области, устанавливающего налоговую льготу (налоговый расход), в соответствии с критериями оценки, установленными в пункте 3.1 настоящего Порядка.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2.2. В целях проведения оценки эффективности налоговых льгот (налоговых расходов):</w:t>
      </w:r>
    </w:p>
    <w:p w:rsidR="001110FA" w:rsidRPr="00DE6EA7" w:rsidRDefault="001110FA" w:rsidP="001110F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до 1 февраля текущего финансового года администрация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 xml:space="preserve">сельсовет Красногвардейского района Оренбургской области направляет в МИФНС N 4 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решений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 (статей, частей, пунктов, подпунктов, абзацев);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до 1 апреля текущего финансового года МИФНС N 4 (на основании запроса сельского поселения) направляет в администрацию сельского поселения информацию за год, предшествующую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перечень категорий налогоплательщиков-получателей налоговой льготы (налогового расхода) с той же детализацией, как они установлены решениями администрации муниципального образования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области;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сведения о суммах предоставленных налоговых льгот (налоговых расходов) за счет бюджета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 по каждой категории налогоплательщиков-получателей налоговой льготы (налогового расхода) и в целом по сельскому поселению;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сведения об объемах налоговых поступлений в бюджет сельского поселения по каждой категории налогоплательщиков-получателей налоговой льготы (налогового расхода) и в целом по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 - в отношении стимулирующих налоговых льгот (налоговых расходов);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до 20 июля текущего финансового года кураторы налоговых льгот (налоговых расходов) представляют в финансовый отдел администрации Красногвардейского района Оренбургской области результаты проведенной оценки эффективности налоговых льгот (налоговых расходов);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до 1 августа текущего финансового года финансовый отдел администрации Красногвардейского района Оренбургской области готовит сводную оценку эффективности налоговых льгот (налоговых расходов), отправляет сводную аналитическую записку в министерство финансов Оренбургской области;</w:t>
      </w:r>
    </w:p>
    <w:p w:rsidR="001110FA" w:rsidRPr="00DE6EA7" w:rsidRDefault="001110FA" w:rsidP="001110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до 1 сентября текущего финансового года администрация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 xml:space="preserve">сельсовет Красногвардейского района Оренбургской области размещает заключение о результатах ежегодной оценки эффективности на официальном сайте администрации муниципального образования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области.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pStyle w:val="3"/>
        <w:tabs>
          <w:tab w:val="left" w:pos="709"/>
        </w:tabs>
        <w:spacing w:before="0" w:after="0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III. Критерии оценки эффективности налоговых льгот</w:t>
      </w:r>
    </w:p>
    <w:p w:rsidR="001110FA" w:rsidRPr="00DE6EA7" w:rsidRDefault="001110FA" w:rsidP="001110FA">
      <w:pPr>
        <w:pStyle w:val="3"/>
        <w:spacing w:before="0" w:after="0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(налоговых расходов)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Оценка эффективности налоговых льгот (налоговых расходов) осуществляется в два этапа: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1 этап - оценка целесообразности осуществления налоговых льгот (налоговых расходов);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2 этап - оценка результативности налоговых льгот (налоговых расходов).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3.1. Обязательными критериями целесообразности осуществления налоговых льгот (налоговых расходов) являются: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- 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сельского поселения (в отношении </w:t>
      </w:r>
      <w:proofErr w:type="spellStart"/>
      <w:r w:rsidRPr="00DE6EA7">
        <w:rPr>
          <w:rFonts w:ascii="Times New Roman" w:hAnsi="Times New Roman" w:cs="Times New Roman"/>
        </w:rPr>
        <w:t>непрограммных</w:t>
      </w:r>
      <w:proofErr w:type="spellEnd"/>
      <w:r w:rsidRPr="00DE6EA7">
        <w:rPr>
          <w:rFonts w:ascii="Times New Roman" w:hAnsi="Times New Roman" w:cs="Times New Roman"/>
        </w:rPr>
        <w:t xml:space="preserve"> налоговых расходов);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- </w:t>
      </w:r>
      <w:proofErr w:type="spellStart"/>
      <w:r w:rsidRPr="00DE6EA7">
        <w:rPr>
          <w:rFonts w:ascii="Times New Roman" w:hAnsi="Times New Roman" w:cs="Times New Roman"/>
        </w:rPr>
        <w:t>востребованность</w:t>
      </w:r>
      <w:proofErr w:type="spellEnd"/>
      <w:r w:rsidRPr="00DE6EA7">
        <w:rPr>
          <w:rFonts w:ascii="Times New Roman" w:hAnsi="Times New Roman" w:cs="Times New Roman"/>
        </w:rPr>
        <w:t xml:space="preserve"> льготы (расхода), освобождения или иной преференции;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- отсутствие значимых отрицательных внешних эффектов.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3.2. 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элементов), не отнесенных к действующим муниципальным программам (для налоговых расходов, отнесенных к </w:t>
      </w:r>
      <w:proofErr w:type="spellStart"/>
      <w:r w:rsidRPr="00DE6EA7">
        <w:rPr>
          <w:rFonts w:ascii="Times New Roman" w:hAnsi="Times New Roman" w:cs="Times New Roman"/>
        </w:rPr>
        <w:t>непрограммным</w:t>
      </w:r>
      <w:proofErr w:type="spellEnd"/>
      <w:r w:rsidRPr="00DE6EA7">
        <w:rPr>
          <w:rFonts w:ascii="Times New Roman" w:hAnsi="Times New Roman" w:cs="Times New Roman"/>
        </w:rPr>
        <w:t>), и включает оценку бюджетной эффективности налоговой льготы (налогового расхода).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3.2.1. 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</w:t>
      </w:r>
      <w:proofErr w:type="spellStart"/>
      <w:r w:rsidRPr="00DE6EA7">
        <w:rPr>
          <w:rFonts w:ascii="Times New Roman" w:hAnsi="Times New Roman" w:cs="Times New Roman"/>
        </w:rPr>
        <w:t>непрограммным</w:t>
      </w:r>
      <w:proofErr w:type="spellEnd"/>
      <w:r w:rsidRPr="00DE6EA7">
        <w:rPr>
          <w:rFonts w:ascii="Times New Roman" w:hAnsi="Times New Roman" w:cs="Times New Roman"/>
        </w:rPr>
        <w:t xml:space="preserve"> или нераспределенным).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3.2.2.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3.2.3. 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DE6EA7">
        <w:rPr>
          <w:rFonts w:ascii="Times New Roman" w:hAnsi="Times New Roman" w:cs="Times New Roman"/>
        </w:rPr>
        <w:t>затратности</w:t>
      </w:r>
      <w:proofErr w:type="spellEnd"/>
      <w:r w:rsidRPr="00DE6EA7">
        <w:rPr>
          <w:rFonts w:ascii="Times New Roman" w:hAnsi="Times New Roman" w:cs="Times New Roman"/>
        </w:rPr>
        <w:t xml:space="preserve">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В целях настоящего пункта в качестве альтернативных механизмов могут учитываться в том числе: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области;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предоставление муниципальных гарантий по обязательствам соответствующих категорий налогоплательщиков;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Оценка бюджетной эффективности стимулирующих налоговых льгот (налоговых расходов) наряду со сравнительным анализом, указанным в абзаце первом 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настоящей методики.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3.2.4. 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</w:t>
      </w:r>
      <w:r w:rsidRPr="00DE6EA7">
        <w:rPr>
          <w:rFonts w:ascii="Times New Roman" w:hAnsi="Times New Roman" w:cs="Times New Roman"/>
        </w:rPr>
        <w:lastRenderedPageBreak/>
        <w:t>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При определении объема налоговых поступлений в бюджет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 от налогоплательщиков - получателей налоговой льготы (налогового расхода) учитываются поступления по налогу на имущество физических лиц; земельному налогу с организаций; земельному налогу с физических лиц.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3.2.5. По итогам оценки результативности куратором формируется заключение: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3.3. По результатам оценки эффективности соответствующих налоговых льгот (налоговых расходов) куратор формулирует общий вывод о степени их эффективности и рекомендации по целесообразности их дальнейшего осуществления.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Исходные данные, результаты оценки эффективности налоговых расходов и рекомендации по результатам такой оценки представляются куратором в администрацию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 в сроки и в формате, определенные указанным органом.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3.4. Администрация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 формирует итоговую оценку эффективности налоговых льгот (налоговых расходов) на основе данных, представленных куратором.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Результаты указанной оценки учитываются при формировании основных направлений бюджетной и налоговой политики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финансовый отдел администрации Красногвардейского района в рамках представления информации в Сводный реестр налоговых льгот (налоговых расходов) - результаты оценки эффективности налоговых льгот оформляются по форме согласно приложению 1 к настоящему Порядку.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3.5. 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программах. Распределение налоговых льгот (налоговых расходов)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3.6. Объектом оценки эффективности налоговых льгот являются потери бюджета сельского поселения (суммы недополученных доходов), обусловленные предоставлением налоговых льгот по местным налогам, и эффект (финансово-экономические и социальные последствия) от предоставления налоговых льгот.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3.7. Оценка эффективности налоговых льгот производится в четыре этапа.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3.7.1. На первом этапе производится инвентаризация предоставленных налоговых льгот.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По результатам инвентаризации составляется перечень налоговых льгот (налоговых расходов) по форме согласно приложению к Порядку формирования и утверждения перечня налоговых льгот (налоговых расходов) в сельском поселении по местным налогам.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При установлении новых налоговых льгот, прекращении действия льгот или изменении содержания льготы в перечень вносятся соответствующие изменения.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Данные перечня налоговых льгот не являются конфиденциальными.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3.7.2. На втором этапе производится оценка потерь (сумма выпадающих доходов) бюджета сельского поселения и производится расчет коэффициентов эффективности налоговых льгот.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lastRenderedPageBreak/>
        <w:t>1) Оценка бюджетной эффективности предполагает оценку результатов экономической деятельности отдельных категорий налогоплательщиков, которым предоставлена налоговая льгота, с позиции влияния на доходы и расходы бюджета и может производиться различными способами.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Для налогоплательщиков, финансируемых из местного бюджета, бюджетная эффективность налоговых льгот может рассматриваться как аналог бюджетного финансирования, поступающего в распоряжение налогоплательщика. При этом положительный эффект от предоставления налоговых льгот выражается в уменьшении бюджетного финансирования.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По налогу на имущество физических лиц бюджетная эффективность не определяется и принимается равной сумме предоставленных налоговых льгот.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Коэффициент бюджетной эффективности рассчитывается по формуле: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E6EA7">
        <w:rPr>
          <w:rFonts w:ascii="Times New Roman" w:hAnsi="Times New Roman" w:cs="Times New Roman"/>
        </w:rPr>
        <w:t>Кбэ</w:t>
      </w:r>
      <w:proofErr w:type="spellEnd"/>
      <w:r w:rsidRPr="00DE6EA7">
        <w:rPr>
          <w:rFonts w:ascii="Times New Roman" w:hAnsi="Times New Roman" w:cs="Times New Roman"/>
        </w:rPr>
        <w:t xml:space="preserve"> = Нот / </w:t>
      </w:r>
      <w:proofErr w:type="spellStart"/>
      <w:r w:rsidRPr="00DE6EA7">
        <w:rPr>
          <w:rFonts w:ascii="Times New Roman" w:hAnsi="Times New Roman" w:cs="Times New Roman"/>
        </w:rPr>
        <w:t>Нпп</w:t>
      </w:r>
      <w:proofErr w:type="spellEnd"/>
      <w:r w:rsidRPr="00DE6EA7">
        <w:rPr>
          <w:rFonts w:ascii="Times New Roman" w:hAnsi="Times New Roman" w:cs="Times New Roman"/>
        </w:rPr>
        <w:t>,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где: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E6EA7">
        <w:rPr>
          <w:rFonts w:ascii="Times New Roman" w:hAnsi="Times New Roman" w:cs="Times New Roman"/>
        </w:rPr>
        <w:t>Кбэ</w:t>
      </w:r>
      <w:proofErr w:type="spellEnd"/>
      <w:r w:rsidRPr="00DE6EA7">
        <w:rPr>
          <w:rFonts w:ascii="Times New Roman" w:hAnsi="Times New Roman" w:cs="Times New Roman"/>
        </w:rPr>
        <w:t xml:space="preserve"> - коэффициент бюджетной эффективности;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Нот - сумма исчисленного налога отчетного периода;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E6EA7">
        <w:rPr>
          <w:rFonts w:ascii="Times New Roman" w:hAnsi="Times New Roman" w:cs="Times New Roman"/>
        </w:rPr>
        <w:t>Нпп</w:t>
      </w:r>
      <w:proofErr w:type="spellEnd"/>
      <w:r w:rsidRPr="00DE6EA7">
        <w:rPr>
          <w:rFonts w:ascii="Times New Roman" w:hAnsi="Times New Roman" w:cs="Times New Roman"/>
        </w:rPr>
        <w:t xml:space="preserve"> - сумма исчисленного налога предыдущего налогового периода.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Предельные значения коэффициентов эффективности налоговых льгот устанавливаются в размере &gt;= 1. В случае, если коэффициент эффективности ниже предельного значения, выявляются причины его снижения.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3.7.3. На третьем этапе специалист администрации оформляет результаты оценки эффективности налоговых льгот по категориям плательщиков по приложению 1 к настоящему Порядку.</w:t>
      </w:r>
    </w:p>
    <w:p w:rsidR="001110FA" w:rsidRPr="00DE6EA7" w:rsidRDefault="001110FA" w:rsidP="001110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3.7.4. На четвертом этапе специалист администрации составляет заключение об оценке эффективности налоговых льгот.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pStyle w:val="3"/>
        <w:tabs>
          <w:tab w:val="left" w:pos="709"/>
        </w:tabs>
        <w:spacing w:before="0" w:after="0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IV. Результаты оценки и их использование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4.1 Расчет оценки эффективности налоговых льгот проводится на предполагаемый срок действия льготы.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4.2 Результаты оценки эффективности налоговых льгот используются для: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а) разработки проекта бюджета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 на очередной финансовый год и плановый период;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б) своевременного принятия мер по отмене неэффективных налоговых льгот;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в) разработки предложений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 по совершенствованию мер поддержки отдельных категорий налогоплательщиков;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г) установления налоговых льгот.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pStyle w:val="3"/>
        <w:spacing w:before="0" w:after="0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V. Расчет показателя эффективности налоговых льгот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5.1. Показатель эффективности налоговых льгот определяется как отношение суммы коэффициентов бюджетной, экономической и социальной эффективности к числу указанных коэффициентов. Расчет показателя эффективности налоговых льгот осуществляется по следующей формуле: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proofErr w:type="spellStart"/>
      <w:r w:rsidRPr="00DE6EA7">
        <w:rPr>
          <w:rFonts w:ascii="Times New Roman" w:hAnsi="Times New Roman" w:cs="Times New Roman"/>
        </w:rPr>
        <w:t>ЭФнл</w:t>
      </w:r>
      <w:proofErr w:type="spellEnd"/>
      <w:r w:rsidRPr="00DE6EA7">
        <w:rPr>
          <w:rFonts w:ascii="Times New Roman" w:hAnsi="Times New Roman" w:cs="Times New Roman"/>
        </w:rPr>
        <w:t xml:space="preserve"> = (КБЭ + КЭЭ + КСЭ) / 3,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где:</w:t>
      </w:r>
    </w:p>
    <w:p w:rsidR="001110FA" w:rsidRPr="00DE6EA7" w:rsidRDefault="001110FA" w:rsidP="001110FA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proofErr w:type="spellStart"/>
      <w:r w:rsidRPr="00DE6EA7">
        <w:rPr>
          <w:rFonts w:ascii="Times New Roman" w:hAnsi="Times New Roman" w:cs="Times New Roman"/>
        </w:rPr>
        <w:t>ЭФнл</w:t>
      </w:r>
      <w:proofErr w:type="spellEnd"/>
      <w:r w:rsidRPr="00DE6EA7">
        <w:rPr>
          <w:rFonts w:ascii="Times New Roman" w:hAnsi="Times New Roman" w:cs="Times New Roman"/>
        </w:rPr>
        <w:t xml:space="preserve"> - показатель эффективности налоговых льгот;</w:t>
      </w:r>
    </w:p>
    <w:p w:rsidR="001110FA" w:rsidRPr="00DE6EA7" w:rsidRDefault="001110FA" w:rsidP="001110FA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КБЭ - коэффициент бюджетной эффективности стимулирующих налоговых льгот в целом по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Новоюласенскому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сельсовету</w:t>
      </w:r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Красногвардейского района Оренбургской области;</w:t>
      </w:r>
    </w:p>
    <w:p w:rsidR="001110FA" w:rsidRPr="00DE6EA7" w:rsidRDefault="001110FA" w:rsidP="001110FA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КЭЭ - коэффициент экономической эффективности стимулирующих налоговых льгот в целом по </w:t>
      </w:r>
      <w:proofErr w:type="spellStart"/>
      <w:r>
        <w:rPr>
          <w:rFonts w:ascii="Times New Roman" w:hAnsi="Times New Roman" w:cs="Times New Roman"/>
        </w:rPr>
        <w:t>Новоюласенскому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сельсовету Красногвардейского района</w:t>
      </w:r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Оренбургской области;</w:t>
      </w:r>
    </w:p>
    <w:p w:rsidR="001110FA" w:rsidRPr="00DE6EA7" w:rsidRDefault="001110FA" w:rsidP="001110FA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КСЭ - коэффициент социальной эффективности социальных налоговых льгот в целом по </w:t>
      </w:r>
      <w:proofErr w:type="spellStart"/>
      <w:r>
        <w:rPr>
          <w:rFonts w:ascii="Times New Roman" w:hAnsi="Times New Roman" w:cs="Times New Roman"/>
        </w:rPr>
        <w:t>Новоюласенскому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сельсовету Красногвардейского района Оренбургской области.</w:t>
      </w:r>
    </w:p>
    <w:p w:rsidR="001110FA" w:rsidRPr="00DE6EA7" w:rsidRDefault="001110FA" w:rsidP="001110FA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lastRenderedPageBreak/>
        <w:t>5.2. Налоговые льготы имеют положительную эффективность, если значение показателя эффективности налоговых льгот больше либо равно единице (</w:t>
      </w:r>
      <w:proofErr w:type="spellStart"/>
      <w:r w:rsidRPr="00DE6EA7">
        <w:rPr>
          <w:rFonts w:ascii="Times New Roman" w:hAnsi="Times New Roman" w:cs="Times New Roman"/>
        </w:rPr>
        <w:t>ЭФнл</w:t>
      </w:r>
      <w:proofErr w:type="spellEnd"/>
      <w:r w:rsidRPr="00DE6EA7">
        <w:rPr>
          <w:rFonts w:ascii="Times New Roman" w:hAnsi="Times New Roman" w:cs="Times New Roman"/>
        </w:rPr>
        <w:t>&gt;= 1).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Приложение 1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к Порядку оценки эффективности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налоговых льгот (налоговых расходов)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по местным налогам, установленных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в администрации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муниципального образования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Красногвардейского района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Оренбургской области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pStyle w:val="3"/>
        <w:spacing w:before="0" w:after="0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ОЦЕНКА</w:t>
      </w:r>
    </w:p>
    <w:p w:rsidR="001110FA" w:rsidRDefault="001110FA" w:rsidP="001110FA">
      <w:pPr>
        <w:pStyle w:val="3"/>
        <w:spacing w:before="0" w:after="0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эффективности налоговых льгот (налоговых расходов) по местным налогам, установленных в администрации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</w:t>
      </w:r>
    </w:p>
    <w:p w:rsidR="001110FA" w:rsidRPr="00124A6B" w:rsidRDefault="001110FA" w:rsidP="001110F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764"/>
        <w:gridCol w:w="2410"/>
        <w:gridCol w:w="1355"/>
        <w:gridCol w:w="1593"/>
        <w:gridCol w:w="1559"/>
      </w:tblGrid>
      <w:tr w:rsidR="001110FA" w:rsidRPr="00124A6B" w:rsidTr="00272C6C">
        <w:trPr>
          <w:trHeight w:val="17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Default="001110FA" w:rsidP="00272C6C">
            <w:pPr>
              <w:pStyle w:val="a4"/>
              <w:ind w:firstLine="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24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110FA" w:rsidRDefault="001110FA" w:rsidP="00272C6C">
            <w:pPr>
              <w:pStyle w:val="a4"/>
              <w:ind w:firstLine="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FA" w:rsidRPr="00124A6B" w:rsidRDefault="001110FA" w:rsidP="00272C6C">
            <w:pPr>
              <w:pStyle w:val="a4"/>
              <w:ind w:firstLine="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124A6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124A6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налогоплательщиков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124A6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 тыс. руб.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spellEnd"/>
          </w:p>
          <w:p w:rsidR="001110FA" w:rsidRPr="00124A6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  <w:p w:rsidR="001110FA" w:rsidRPr="00124A6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</w:p>
          <w:p w:rsidR="001110FA" w:rsidRPr="00124A6B" w:rsidRDefault="001110FA" w:rsidP="00272C6C">
            <w:pPr>
              <w:pStyle w:val="a4"/>
              <w:ind w:firstLine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0FA" w:rsidRPr="00124A6B" w:rsidRDefault="001110FA" w:rsidP="00272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эффективности</w:t>
            </w:r>
          </w:p>
        </w:tc>
      </w:tr>
      <w:tr w:rsidR="001110FA" w:rsidRPr="00124A6B" w:rsidTr="00272C6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124A6B" w:rsidRDefault="001110FA" w:rsidP="00272C6C">
            <w:pPr>
              <w:pStyle w:val="a4"/>
              <w:ind w:firstLine="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124A6B" w:rsidRDefault="001110FA" w:rsidP="00272C6C">
            <w:pPr>
              <w:pStyle w:val="a4"/>
              <w:ind w:firstLine="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124A6B" w:rsidRDefault="001110FA" w:rsidP="00272C6C">
            <w:pPr>
              <w:pStyle w:val="a4"/>
              <w:ind w:firstLine="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124A6B" w:rsidRDefault="001110FA" w:rsidP="00272C6C">
            <w:pPr>
              <w:pStyle w:val="a4"/>
              <w:ind w:firstLine="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124A6B" w:rsidRDefault="001110FA" w:rsidP="00272C6C">
            <w:pPr>
              <w:pStyle w:val="a4"/>
              <w:ind w:firstLine="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0FA" w:rsidRPr="00124A6B" w:rsidRDefault="001110FA" w:rsidP="00272C6C">
            <w:pPr>
              <w:pStyle w:val="a4"/>
              <w:ind w:firstLine="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10FA" w:rsidRPr="00124A6B" w:rsidTr="00272C6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124A6B" w:rsidRDefault="001110FA" w:rsidP="00272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124A6B" w:rsidRDefault="001110FA" w:rsidP="00272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124A6B" w:rsidRDefault="001110FA" w:rsidP="00272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124A6B" w:rsidRDefault="001110FA" w:rsidP="00272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124A6B" w:rsidRDefault="001110FA" w:rsidP="00272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0FA" w:rsidRPr="00124A6B" w:rsidRDefault="001110FA" w:rsidP="00272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Default="001110FA" w:rsidP="001110FA">
      <w:pPr>
        <w:tabs>
          <w:tab w:val="left" w:pos="567"/>
          <w:tab w:val="left" w:pos="709"/>
        </w:tabs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lastRenderedPageBreak/>
        <w:t>Приложение 2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к постановлению администрации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муниципального образования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Красногвардейского района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Оренбургской области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E6EA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16</w:t>
      </w:r>
      <w:r w:rsidRPr="00DE6EA7">
        <w:rPr>
          <w:rFonts w:ascii="Times New Roman" w:hAnsi="Times New Roman" w:cs="Times New Roman"/>
        </w:rPr>
        <w:t xml:space="preserve"> .06.2020 </w:t>
      </w:r>
      <w:r>
        <w:rPr>
          <w:rFonts w:ascii="Times New Roman" w:hAnsi="Times New Roman" w:cs="Times New Roman"/>
        </w:rPr>
        <w:t>№ 43-п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pStyle w:val="1"/>
        <w:jc w:val="center"/>
      </w:pPr>
      <w:r w:rsidRPr="00DE6EA7">
        <w:t>Порядок</w:t>
      </w:r>
      <w:r w:rsidRPr="00DE6EA7">
        <w:br/>
        <w:t xml:space="preserve">формирования и утверждения перечня налоговых льгот (налоговых расходов) администрации муниципального образования </w:t>
      </w:r>
      <w:proofErr w:type="spellStart"/>
      <w:r>
        <w:t>Новоюласенский</w:t>
      </w:r>
      <w:proofErr w:type="spellEnd"/>
      <w:r>
        <w:t xml:space="preserve"> </w:t>
      </w:r>
      <w:r w:rsidRPr="00DE6EA7">
        <w:t xml:space="preserve">сельсовет Красногвардейского района Оренбургской области по местным налогам, установленных в администрации муниципального образования </w:t>
      </w:r>
      <w:proofErr w:type="spellStart"/>
      <w:r>
        <w:t>Новоюласенский</w:t>
      </w:r>
      <w:proofErr w:type="spellEnd"/>
      <w:r>
        <w:t xml:space="preserve"> с</w:t>
      </w:r>
      <w:r w:rsidRPr="00DE6EA7">
        <w:t>ельсовет Красногвардейского района Оренбургской области</w:t>
      </w:r>
    </w:p>
    <w:p w:rsidR="001110FA" w:rsidRPr="00DE6EA7" w:rsidRDefault="001110FA" w:rsidP="001110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pStyle w:val="3"/>
        <w:spacing w:before="0" w:after="0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I. Общие положения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1.1. Настоящий Порядок определяет правила формирования и утверждения перечня налоговых льгот (налоговых расходов) в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 по местным налогам (далее - Перечень).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1.2. Перечень налоговых льгот (налоговых расходов) в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 формируется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сельского поселения.</w:t>
      </w:r>
    </w:p>
    <w:p w:rsidR="001110FA" w:rsidRPr="00DE6EA7" w:rsidRDefault="001110FA" w:rsidP="001110FA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Перечень налоговых льгот (налоговых расходов)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 xml:space="preserve">сельсовет Красногвардейского района Оренбургской области включает все налоговые льготы (налоговые расходы), установленные решениями администрации муниципального образования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области.</w:t>
      </w:r>
    </w:p>
    <w:p w:rsidR="001110FA" w:rsidRPr="00DE6EA7" w:rsidRDefault="001110FA" w:rsidP="001110FA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Принадлежность налоговых льгот (налоговых расходов) к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:rsidR="001110FA" w:rsidRPr="00DE6EA7" w:rsidRDefault="001110FA" w:rsidP="001110FA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1110FA" w:rsidRPr="00DE6EA7" w:rsidRDefault="001110FA" w:rsidP="001110FA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Налоговые льготы (налоговые расходы), которые не соответствуют перечисленным выше критериям, относятся к </w:t>
      </w:r>
      <w:proofErr w:type="spellStart"/>
      <w:r w:rsidRPr="00DE6EA7">
        <w:rPr>
          <w:rFonts w:ascii="Times New Roman" w:hAnsi="Times New Roman" w:cs="Times New Roman"/>
        </w:rPr>
        <w:t>непрограммным</w:t>
      </w:r>
      <w:proofErr w:type="spellEnd"/>
      <w:r w:rsidRPr="00DE6EA7">
        <w:rPr>
          <w:rFonts w:ascii="Times New Roman" w:hAnsi="Times New Roman" w:cs="Times New Roman"/>
        </w:rPr>
        <w:t xml:space="preserve"> налоговым льготам (налоговым расходам).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pStyle w:val="3"/>
        <w:spacing w:before="0" w:after="0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II. Порядок формирования и утверждения перечня налоговых льгот (налоговых расходов)</w:t>
      </w:r>
    </w:p>
    <w:p w:rsidR="001110FA" w:rsidRPr="00124A6B" w:rsidRDefault="001110FA" w:rsidP="001110FA">
      <w:pPr>
        <w:tabs>
          <w:tab w:val="left" w:pos="709"/>
        </w:tabs>
      </w:pP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2.1. Формирование Перечня проводится ежегодно до 1 декабря предшествующего финансового года.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2.2. В целях формирования Перечня: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- до 1 ноября предшествующего финансового года куратор налоговых льгот (налоговых расходов) представляет в финансовый отдел администрации Красногвардейского района Оренбургской области сведения о налоговых льготах (налоговых расходах) на очередной финансовый год в разрезе муниципальных программ и их структурных элементов, а также направлений деятельности, не входящих в муниципальные программы, с указаниями на </w:t>
      </w:r>
      <w:r w:rsidRPr="00DE6EA7">
        <w:rPr>
          <w:rFonts w:ascii="Times New Roman" w:hAnsi="Times New Roman" w:cs="Times New Roman"/>
        </w:rPr>
        <w:lastRenderedPageBreak/>
        <w:t>обусловливающие соответствующие налоговые расходы положения (статьи, части, пункты, подпункты, абзацы) решений сельского поселения, согласно приложению к настоящему Порядку;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- в течение текущего финансового года куратор налоговых льгот (налоговых расходов) в случае отмены льгот или введения новых льгот представляет в финансовый отдел администрации Красногвардейского района Оренбургской области уточненные сведения для внесения изменений в Перечень;</w:t>
      </w:r>
    </w:p>
    <w:p w:rsidR="001110FA" w:rsidRPr="00DE6EA7" w:rsidRDefault="001110FA" w:rsidP="00111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- до 15 ноября текущего финансового года администрация </w:t>
      </w:r>
      <w:proofErr w:type="spellStart"/>
      <w:r>
        <w:rPr>
          <w:rFonts w:ascii="Times New Roman" w:hAnsi="Times New Roman" w:cs="Times New Roman"/>
        </w:rPr>
        <w:t>Новоюласенского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сельсовета Красногвардейского района Оренбургской области формирует сводный Перечень на очередной финансовый год по форме согласно приложению, к настоящему Порядку;</w:t>
      </w:r>
    </w:p>
    <w:p w:rsidR="001110FA" w:rsidRPr="00DE6EA7" w:rsidRDefault="001110FA" w:rsidP="001110FA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 xml:space="preserve">- до 15 декабря текущего финансового года администрация </w:t>
      </w:r>
      <w:proofErr w:type="spellStart"/>
      <w:r>
        <w:rPr>
          <w:rFonts w:ascii="Times New Roman" w:hAnsi="Times New Roman" w:cs="Times New Roman"/>
        </w:rPr>
        <w:t>Новоюласенского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 xml:space="preserve">сельсовета Красногвардейского района Оренбургской области утверждает своим постановлением Перечень на очередной финансовый год и размещает Перечень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</w:rPr>
        <w:t>Нвоюласенский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 Красногвардейского района Оренбургской области.</w:t>
      </w:r>
    </w:p>
    <w:p w:rsidR="001110FA" w:rsidRPr="00DE6EA7" w:rsidRDefault="001110FA" w:rsidP="00111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  <w:sectPr w:rsidR="001110FA" w:rsidRPr="00DE6EA7" w:rsidSect="00E409C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lastRenderedPageBreak/>
        <w:t>Приложение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к Порядку формирования и утверждения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перечня налоговых льгот (налоговых расходов)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в администрации муниципального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E6EA7">
        <w:rPr>
          <w:rFonts w:ascii="Times New Roman" w:hAnsi="Times New Roman" w:cs="Times New Roman"/>
        </w:rPr>
        <w:t>сельсовет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Красногвардейского района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Оренбургской области</w:t>
      </w:r>
    </w:p>
    <w:p w:rsidR="001110FA" w:rsidRPr="00DE6EA7" w:rsidRDefault="001110FA" w:rsidP="001110FA">
      <w:pPr>
        <w:spacing w:after="0" w:line="240" w:lineRule="auto"/>
        <w:ind w:firstLine="559"/>
        <w:jc w:val="right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по местным налогам</w:t>
      </w:r>
    </w:p>
    <w:p w:rsidR="001110FA" w:rsidRPr="00DE6EA7" w:rsidRDefault="001110FA" w:rsidP="00111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pStyle w:val="3"/>
        <w:spacing w:before="0" w:after="0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pStyle w:val="3"/>
        <w:spacing w:before="0" w:after="0"/>
        <w:rPr>
          <w:rFonts w:ascii="Times New Roman" w:hAnsi="Times New Roman" w:cs="Times New Roman"/>
        </w:rPr>
      </w:pPr>
    </w:p>
    <w:p w:rsidR="001110FA" w:rsidRPr="00DE6EA7" w:rsidRDefault="001110FA" w:rsidP="001110FA">
      <w:pPr>
        <w:pStyle w:val="3"/>
        <w:spacing w:before="0" w:after="0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ПЕРЕЧЕНЬ</w:t>
      </w:r>
    </w:p>
    <w:p w:rsidR="001110FA" w:rsidRPr="00DE6EA7" w:rsidRDefault="001110FA" w:rsidP="001110FA">
      <w:pPr>
        <w:pStyle w:val="3"/>
        <w:spacing w:before="0" w:after="0"/>
        <w:rPr>
          <w:rFonts w:ascii="Times New Roman" w:hAnsi="Times New Roman" w:cs="Times New Roman"/>
        </w:rPr>
      </w:pPr>
      <w:r w:rsidRPr="00DE6EA7">
        <w:rPr>
          <w:rFonts w:ascii="Times New Roman" w:hAnsi="Times New Roman" w:cs="Times New Roman"/>
        </w:rPr>
        <w:t>налоговых льгот (налоговых расходов) на _______ год</w:t>
      </w:r>
    </w:p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134"/>
        <w:gridCol w:w="851"/>
        <w:gridCol w:w="1417"/>
        <w:gridCol w:w="993"/>
        <w:gridCol w:w="992"/>
        <w:gridCol w:w="1134"/>
        <w:gridCol w:w="1205"/>
        <w:gridCol w:w="779"/>
        <w:gridCol w:w="993"/>
        <w:gridCol w:w="1275"/>
        <w:gridCol w:w="1276"/>
        <w:gridCol w:w="992"/>
        <w:gridCol w:w="709"/>
      </w:tblGrid>
      <w:tr w:rsidR="001110FA" w:rsidRPr="00E409CB" w:rsidTr="00272C6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ind w:firstLine="5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муниципальной </w:t>
            </w: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программ-мы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устанавливающего льготу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налога (платежа)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Плательщик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льготы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льготируемой</w:t>
            </w:r>
            <w:proofErr w:type="spellEnd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</w:t>
            </w:r>
            <w:proofErr w:type="spellEnd"/>
          </w:p>
          <w:p w:rsidR="001110FA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вой </w:t>
            </w:r>
          </w:p>
          <w:p w:rsidR="001110FA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ставки (в процент</w:t>
            </w:r>
          </w:p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</w:t>
            </w:r>
            <w:proofErr w:type="spellEnd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пунктах)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Условие предоставления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Начало </w:t>
            </w: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</w:t>
            </w:r>
            <w:proofErr w:type="spellEnd"/>
          </w:p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вия льготы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</w:t>
            </w:r>
            <w:proofErr w:type="spellEnd"/>
          </w:p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категория налоговой льготы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вида </w:t>
            </w: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</w:t>
            </w:r>
            <w:proofErr w:type="spellEnd"/>
          </w:p>
          <w:p w:rsidR="001110FA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кой деятель</w:t>
            </w:r>
          </w:p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(по ОКВЭД), к которому относится налоговая льгота (налоговый расход)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Категории </w:t>
            </w: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</w:t>
            </w:r>
            <w:proofErr w:type="spellEnd"/>
          </w:p>
          <w:p w:rsidR="001110FA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латель</w:t>
            </w:r>
            <w:proofErr w:type="spellEnd"/>
          </w:p>
          <w:p w:rsidR="001110FA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щиков</w:t>
            </w:r>
            <w:proofErr w:type="spellEnd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которым </w:t>
            </w: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</w:t>
            </w:r>
            <w:proofErr w:type="spellEnd"/>
          </w:p>
          <w:p w:rsidR="001110FA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лена</w:t>
            </w:r>
          </w:p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льгота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</w:t>
            </w:r>
            <w:proofErr w:type="spellEnd"/>
          </w:p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</w:p>
        </w:tc>
      </w:tr>
      <w:tr w:rsidR="001110FA" w:rsidRPr="00E409CB" w:rsidTr="00272C6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ind w:firstLine="5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proofErr w:type="spellStart"/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ind w:firstLine="55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1110FA" w:rsidRPr="00E409CB" w:rsidTr="00272C6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ind w:firstLine="559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0FA" w:rsidRPr="00E409CB" w:rsidTr="00272C6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FA" w:rsidRPr="00E409CB" w:rsidRDefault="001110FA" w:rsidP="00272C6C">
            <w:pPr>
              <w:pStyle w:val="a4"/>
              <w:ind w:firstLine="559"/>
              <w:rPr>
                <w:rFonts w:ascii="Times New Roman" w:hAnsi="Times New Roman" w:cs="Times New Roman"/>
                <w:sz w:val="20"/>
                <w:szCs w:val="20"/>
              </w:rPr>
            </w:pPr>
            <w:r w:rsidRPr="00E4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0FA" w:rsidRPr="00E409CB" w:rsidRDefault="001110FA" w:rsidP="00272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0FA" w:rsidRPr="00DE6EA7" w:rsidRDefault="001110FA" w:rsidP="001110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0FA" w:rsidRDefault="001110FA" w:rsidP="001110F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:rsidR="001110FA" w:rsidRDefault="001110FA">
      <w:pPr>
        <w:sectPr w:rsidR="001110FA" w:rsidSect="001110F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55D5A" w:rsidRDefault="00055D5A"/>
    <w:sectPr w:rsidR="0005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110FA"/>
    <w:rsid w:val="00055D5A"/>
    <w:rsid w:val="0011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10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1110F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Theme="minorEastAsia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110F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1110FA"/>
    <w:rPr>
      <w:rFonts w:ascii="Arial" w:hAnsi="Arial" w:cs="Arial"/>
      <w:b/>
      <w:bCs/>
      <w:color w:val="26282F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1110FA"/>
    <w:rPr>
      <w:b/>
      <w:bCs/>
      <w:color w:val="008000"/>
    </w:rPr>
  </w:style>
  <w:style w:type="paragraph" w:customStyle="1" w:styleId="a4">
    <w:name w:val="Нормальный (таблица)"/>
    <w:basedOn w:val="a"/>
    <w:uiPriority w:val="99"/>
    <w:qFormat/>
    <w:rsid w:val="001110FA"/>
    <w:pPr>
      <w:widowControl w:val="0"/>
      <w:spacing w:after="0" w:line="240" w:lineRule="auto"/>
      <w:jc w:val="both"/>
    </w:pPr>
    <w:rPr>
      <w:rFonts w:ascii="Arial" w:hAnsi="Arial" w:cs="Arial"/>
      <w:color w:val="00000A"/>
      <w:sz w:val="26"/>
      <w:szCs w:val="26"/>
    </w:rPr>
  </w:style>
  <w:style w:type="character" w:customStyle="1" w:styleId="a5">
    <w:name w:val="Цветовое выделение"/>
    <w:uiPriority w:val="99"/>
    <w:rsid w:val="001110FA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semiHidden/>
    <w:rsid w:val="00111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1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72178816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4029</Words>
  <Characters>22971</Characters>
  <Application>Microsoft Office Word</Application>
  <DocSecurity>0</DocSecurity>
  <Lines>191</Lines>
  <Paragraphs>53</Paragraphs>
  <ScaleCrop>false</ScaleCrop>
  <Company>Reanimator Extreme Edition</Company>
  <LinksUpToDate>false</LinksUpToDate>
  <CharactersWithSpaces>26947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2020-06-29T08:19:00Z</dcterms:created>
  <dcterms:modified xsi:type="dcterms:W3CDTF">2020-06-29T08:20:00Z</dcterms:modified>
</cp:coreProperties>
</file>